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 w:val="0"/>
          <w:bCs/>
          <w:color w:val="000000" w:themeColor="text1"/>
          <w:sz w:val="44"/>
          <w:szCs w:val="44"/>
          <w:lang w:eastAsia="zh-CN"/>
          <w14:textFill>
            <w14:solidFill>
              <w14:schemeClr w14:val="tx1"/>
            </w14:solidFill>
          </w14:textFill>
        </w:rPr>
        <w:t>第十二讲</w:t>
      </w:r>
      <w:r>
        <w:rPr>
          <w:rFonts w:hint="eastAsia" w:ascii="方正小标宋简体" w:hAnsi="方正小标宋简体" w:eastAsia="方正小标宋简体" w:cs="方正小标宋简体"/>
          <w:b w:val="0"/>
          <w:bCs/>
          <w:color w:val="000000" w:themeColor="text1"/>
          <w:sz w:val="44"/>
          <w:szCs w:val="44"/>
          <w:lang w:val="en-US" w:eastAsia="zh-CN"/>
          <w14:textFill>
            <w14:solidFill>
              <w14:schemeClr w14:val="tx1"/>
            </w14:solidFill>
          </w14:textFill>
        </w:rPr>
        <w:t xml:space="preserve">  </w:t>
      </w:r>
      <w:r>
        <w:rPr>
          <w:rFonts w:hint="eastAsia" w:ascii="方正小标宋简体" w:hAnsi="方正小标宋简体" w:eastAsia="方正小标宋简体" w:cs="方正小标宋简体"/>
          <w:b w:val="0"/>
          <w:bCs/>
          <w:color w:val="000000" w:themeColor="text1"/>
          <w:sz w:val="44"/>
          <w:szCs w:val="44"/>
          <w14:textFill>
            <w14:solidFill>
              <w14:schemeClr w14:val="tx1"/>
            </w14:solidFill>
          </w14:textFill>
        </w:rPr>
        <w:t>重症急性胰腺炎的肠内</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 w:val="0"/>
          <w:bCs/>
          <w:color w:val="000000" w:themeColor="text1"/>
          <w:sz w:val="44"/>
          <w:szCs w:val="44"/>
          <w:lang w:val="en-US" w:eastAsia="zh-CN"/>
          <w14:textFill>
            <w14:solidFill>
              <w14:schemeClr w14:val="tx1"/>
            </w14:solidFill>
          </w14:textFill>
        </w:rPr>
        <w:t xml:space="preserve">       </w:t>
      </w:r>
      <w:r>
        <w:rPr>
          <w:rFonts w:hint="eastAsia" w:ascii="方正小标宋简体" w:hAnsi="方正小标宋简体" w:eastAsia="方正小标宋简体" w:cs="方正小标宋简体"/>
          <w:b w:val="0"/>
          <w:bCs/>
          <w:color w:val="000000" w:themeColor="text1"/>
          <w:sz w:val="44"/>
          <w:szCs w:val="44"/>
          <w14:textFill>
            <w14:solidFill>
              <w14:schemeClr w14:val="tx1"/>
            </w14:solidFill>
          </w14:textFill>
        </w:rPr>
        <w:t>营养护理</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center"/>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福建医科大学附属协和医院</w:t>
      </w:r>
      <w:r>
        <w:rPr>
          <w:rFonts w:hint="eastAsia" w:ascii="仿宋_GB2312" w:hAnsi="仿宋_GB2312" w:eastAsia="仿宋_GB2312" w:cs="仿宋_GB2312"/>
          <w:b w:val="0"/>
          <w:bCs/>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b w:val="0"/>
          <w:bCs/>
          <w:color w:val="000000" w:themeColor="text1"/>
          <w:sz w:val="32"/>
          <w:szCs w:val="32"/>
          <w14:textFill>
            <w14:solidFill>
              <w14:schemeClr w14:val="tx1"/>
            </w14:solidFill>
          </w14:textFill>
        </w:rPr>
        <w:t>林榕芳</w:t>
      </w:r>
    </w:p>
    <w:p>
      <w:pPr>
        <w:keepNext w:val="0"/>
        <w:keepLines w:val="0"/>
        <w:pageBreakBefore w:val="0"/>
        <w:widowControl w:val="0"/>
        <w:kinsoku/>
        <w:wordWrap/>
        <w:overflowPunct/>
        <w:topLinePunct w:val="0"/>
        <w:autoSpaceDE/>
        <w:autoSpaceDN/>
        <w:bidi w:val="0"/>
        <w:adjustRightInd/>
        <w:snapToGrid/>
        <w:spacing w:line="590" w:lineRule="exact"/>
        <w:ind w:left="0" w:leftChars="0" w:right="0" w:rightChars="0" w:firstLine="0" w:firstLineChars="0"/>
        <w:jc w:val="center"/>
        <w:textAlignment w:val="auto"/>
        <w:outlineLvl w:val="9"/>
        <w:rPr>
          <w:rFonts w:hint="eastAsia" w:ascii="仿宋_GB2312" w:hAnsi="仿宋_GB2312" w:eastAsia="仿宋_GB2312" w:cs="仿宋_GB2312"/>
          <w:b w:val="0"/>
          <w:bCs/>
          <w:color w:val="000000" w:themeColor="text1"/>
          <w:sz w:val="32"/>
          <w:szCs w:val="32"/>
          <w14:textFill>
            <w14:solidFill>
              <w14:schemeClr w14:val="tx1"/>
            </w14:solidFill>
          </w14:textFill>
        </w:rPr>
      </w:pPr>
    </w:p>
    <w:p>
      <w:pPr>
        <w:spacing w:line="360" w:lineRule="auto"/>
        <w:ind w:firstLine="64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重症急性胰腺炎(sever acute pancreatitis，SAP)是一种急性全身消耗性疾病，常可导致病人代谢紊乱,营养障碍,进一步使病情恶化引发多脏器功能障碍(MODS), 积极恢复和维持肠道粘膜屏障功能，可降低SAP的病死率。肠内营养（ EN）能保护肠道粘膜屏障功能，减少细菌移位，降低胰腺坏死组织继发感染的机会，适时实施EN对SAP 治疗和康复有重要作用。</w:t>
      </w:r>
    </w:p>
    <w:p>
      <w:pPr>
        <w:spacing w:line="360" w:lineRule="auto"/>
        <w:jc w:val="left"/>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一、SAP时进行EN的病理生理基础</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1、正常的胰腺生理功能及SAP的病理生理：胰腺是机体的一个重要消化脏器，胰腺每天约分泌胰液1000ml，胰液中含有大量的碳酸氢盐和多种消化酶（包括活化和未活化的蛋白酶、脂肪酶和淀粉酶等），具有很强的消化能力。胰腺分泌受复杂的迷走神经和体液双重调节，以后者为主。正常情况下，胰腺有一系列的保护机制以避免胰腺实质受蛋白水解酶的损害，急性胰腺炎时，在各种致病因素的作用下，胰液逆流胰腺组织使未活化的蛋白酶活化,引起脏器的自身消化,导致机体释放大量的炎性介质和细胞因子，启动炎症联级反应，从而引起胰腺甚至其它脏器出血、坏死，甚至多器官功能障碍，严重威胁患者的生命健康。</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2、根据SAP的特点，营养支持的目标应包括：</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①减少胰液分泌，防止坏死和炎症的继续发展；②纠正SAP所致的营养物异常代谢；③在不进食的条件下，提高合理的营养底物，尽可能将机体组织的分解代谢降低到合理水平，预防和减轻营养不良；④通过特殊营养物的支持，尤其EN，降低炎症反应，增强肠粘膜屏障的功能，预防肠源性感染和MODS。</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3、SAP的营养支持方式：SAP的营养支持途径可分为肠外和肠内两种方式。全肠外营养同时避开了对胰腺的头相、胃相和肠相的刺激，能让胰腺“休息”，且TPN建立静脉通道较方便，能较快供给机体所需的热卡和氮源，故一直是胰腺炎营养治疗的标准手段，然而，随着PN应用的推广和研究深入，其不良反应也受到密切关注。长期PN患者除易引起导管并发症外，还可以出现医源性饥饿综合症，表现肠蠕动减慢、肠粘膜细胞减少、黏膜萎缩、绒毛变短、蛋白质和DNA合成减少；同时肠腔内分泌型IgA亦明显减少，导致肠粘膜屏障功能损害，发生肠道细菌移位，使肠源性感染和毒血症发生率增高。相比之下，肠内营养有更多的优点，可以减少全肠外营养带来的并发症，其除体现在营养素的吸收、利用更符合生理、给药方便和费用低廉外，还有助维持肠粘膜结构和屏障功能的完整性。正因如此，“只要胃肠道有功能，就利用它”已经成为一种共识。</w:t>
      </w:r>
    </w:p>
    <w:p>
      <w:pPr>
        <w:spacing w:line="360" w:lineRule="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二、SAP肠内营养方法</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1、置管方法：患者取半坐位或半卧位，测定鼻肠管插人长度(取胸骨剑突至鼻尖至耳垂的距离，再加10-15cm)，标记好该长度在鼻肠管上的位置，向复尔凯鼻肠管腔内注人约20 ml生理盐水以激活引导钢丝表面润滑剂(Hydromer专利)，将引导钢丝插人鼻肠管内，使螺旋型的鼻肠管头部伸直，鼻肠管头部蘸少许生理盐水，激活其上润滑剂，然后将管道从鼻腔缓慢插入，插至咽喉部时嘱患者做吞咽动作，便于管道顺利进入食道，插至标记长度时用空针抽吸出胃液后，向管道内注人10 ml生理盐水，然后小心撤出引导钢丝，于鼻腔外管道30 cm处用胶布固定于耳垂下方，使管道保持自然弯曲、松弛状态。由于材料具有特殊的螺旋记忆性能(Folcare Beng Mark专利)，其远端可自行恢复螺旋状，在胃内8-12 h后，鼻肠管在胃蠕动作用下，自行通过幽门进人十二指肠和空肠。插管24 h后行X线摄片，检查鼻肠管头端的位置。以证实鼻肠管前端到达空肠上段，用胶布将其固定于鼻孔下方，防止滑脱。若胃肠动力不足或放置鼻肠管24小时后仍不能进入空肠，可配合医生在X线透视下置管，使鼻肠管通过幽门，到达并超过屈氏韧带30-40cm处。</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2、营养方法：置管成功当天，采用生理盐水或葡萄糖盐水300—500m1缓慢滴入，待胃肠道功能适应后，次日开始选用营养液如能全力、百普力或瑞代等，采用肠内营养输注器及加温器控制温度为37℃左右，连续匀速输注，输注速度由20ml／h开始，每24 h增加20-40 ml／h，逐渐增加速度至80—100 ml／h，经肠内营养摄入能量不足部分从静脉补充直至病人耐受全量肠内营养。 3—5 d 24 h总量逐渐增加达2000～2500 ml。同时，根据患者耐受情况，随时调整速度和用量。</w:t>
      </w:r>
    </w:p>
    <w:p>
      <w:pPr>
        <w:spacing w:line="360" w:lineRule="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三、肠内营养的护理</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1、心理护理：给予肠内营养之前，向患者及家属说明肠内营养的目的、意义、重要性，操作步骤和注意事项，给予心理支持，取得理解和配合。经常与患者沟通，给予心理支持，以取得患者及其家属的合作，顺利完成肠内营养治疗和护理。</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2、鼻肠管的护理：置管成功后妥善固定鼻肠管，在鼻肠管进入鼻腔处做好标记，用胶布固定于一侧鼻翼，加强巡视，经常检查鼻肠管外露长度，注意有无滑脱、移动、扭曲。应注意保证鼻肠管在空肠内并引流通畅。避免营养液滴入胃和十二指肠内而加重病情。每次输注前常规检查管道是否通畅，每次营养液输注前、后用30～50 m1温开水冲洗鼻肠管，连续输注过程中，每2-3h冲洗1次，发现阻力大随时冲洗。若鼻肠管堵塞，可采用“低压冲洗”和“负压抽吸”交替进行，切勿加压冲洗，以免冲破导管。</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3、根据患者的具体情况，合理配置肠内营养液及安排肠内营养顺序</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（1）按要求配置营养液：配置液宜现配现用，常温下放置不宜超过24小时。配制EN液容器要消毒；配制的液体用注射用水或温开水如配制的EN制剂为粉剂，则应搅拌均匀。</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2）肠内营养液的选择：采用个体化原则，根据不同病人，不同病情作适当调整。一般置管成功当天采用生理盐水或葡萄糖盐水300—500m1缓慢滴入，待胃肠道功能适应后，次日开始选用营养液如能全力、百普力或瑞代等，无腹泻等胃肠道症状可逐步添加物廉价美的米汤，果汁，豆浆等。</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（3）严格掌握肠内营养的“三度”原则：即速度、浓度和温度，遵循循序渐进的原则。即由少到多，由稀到浓。营养液温度37～40℃，每瓶营养液500ml悬挂输注时间不超过8h。</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4、肠内营养实施过程评估：</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（1） 营养的评估和监测：注意观察病情，经常与病人沟通交流，定时监测生化指标，肝肾功能、血浆蛋白、血糖等变化，定期观察和记录体重、氮平衡及其它营养参数，做好营养评估。</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（2）评估并观察患者有无胃肠道症状。</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（3）评估病人及家属对肠内营养相关知识的了解及认识和掌握程度，以便病人带鼻肠管出院后的家庭护理。</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5、基础护理：加强鼻腔、口腔护理。大多数经鼻腔置管的患者习惯用口呼吸，导致口腔和舌干燥；加上鼻饲缺乏食物对口腔腺体的刺激使唾液分泌减少，致口腔内有异味或不适。为防止口腔感染，每天口腔护理2—3次，可自理者应指导患者多漱口，早晚刷牙。每日用棉签清洁鼻腔。</w:t>
      </w:r>
    </w:p>
    <w:p>
      <w:pPr>
        <w:spacing w:line="360" w:lineRule="auto"/>
        <w:rPr>
          <w:rFonts w:hint="eastAsia"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四、SAP肠内营养常见并发症的观察及护理</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1、 胃肠道并发症：</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（1）恶心呕吐：与患者病情、肠内营养输注速度等有关，采用合适的营养液、减慢滴速可有效预防恶心呕吐的发生.</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2）腹泻：是肠内营养最常见并发症，多发生于肠内营养输注早期。早期发生者可以通过稀释营养液后输入使肠道逐渐适应，再逐渐过渡为全营养液。输注过程中注意营养液的滴速、温度、量；稀释的营养液应在四小时内输注以避免营养液的变质。腹泻严重者可遵嘱使用抗生素，蒙脱石散等可有效控制腹泻。</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（3）腹胀：输注营养液过程中应经常巡视，与患者沟通，了解患者的适应情况及排便情况，调节速度，避免过快、过量。</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（4）便秘：由于缺乏纤维素而引起的。可以输注含有纤维素的肠内营养液如能全力等，也可增加果汁如胡萝卜汁、青瓜汁等的摄入。</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2、 代谢性并发症：主要为高血糖。多因接受高热卡膳、合并糖尿病或老年患者-糖耐量不足等引起。因此鼻饲期间应监测血糖，每4-6小时一次。营养液输注达到全浓度或最大量至少48小时后，检查结果持续阴性后可改为12小时一次或停检。若出现高血糖症予以胰岛素治疗，严格控制血糖在5.6-8.3mmol/L之间。高血糖治疗期间注意防治低血糖的发生。</w:t>
      </w:r>
    </w:p>
    <w:p>
      <w:pPr>
        <w:spacing w:line="360" w:lineRule="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3、导管阻塞：大多数鼻肠管的堵塞是由于长期输注的营养液粘附于管壁或不及时冲洗所造成；少数是由于含有糖衣的药片阻塞、鼻肠管的扭曲或药物之间的不相容所致的沉淀引起的。这些情况应以预防为主：每次滴注结束后，用温开水30～50mL温开水冲洗导管，片剂药物一定要研碎并注意药物的配伍禁忌，对于含有糖衣的药片如耐信等，可遵嘱给予口服。一旦发现鼻肠管堵塞，采用低压温水冲洗和负压抽吸交替的方法可以解决大多数阻塞，但要注意压力不可过大，以免冲破导管。若导管堵塞是由于营养液附着引起的，较严重时可使用少量5%碳酸氢钠低压冲洗和负压抽吸交替来解决。以上方法不能疏通时，可用导丝疏通，大多数的鼻肠管堵塞采取以上措施都能够恢复通畅。</w:t>
      </w:r>
    </w:p>
    <w:p>
      <w:pPr>
        <w:spacing w:line="360" w:lineRule="auto"/>
        <w:ind w:firstLine="540"/>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总之，SAP病情危重，病程长、并发症多、病死率高，重视和加强合理的营养支持对于改善预后具有十分重要的作用。EN在SAP病人治疗中的作用日益重要，无论从疗效还是从医疗费用看，早期实行EN是有效可行的。在EN的护理过程中应注意根据病人的实际情况采取有效的措施，即个体化原则，正确的护理措施及病情观察是确保SAP病人治疗和肠内营养支持顺利完成的关键。</w:t>
      </w:r>
    </w:p>
    <w:p>
      <w:pPr>
        <w:spacing w:line="360" w:lineRule="auto"/>
        <w:ind w:firstLine="540"/>
        <w:rPr>
          <w:rFonts w:hint="eastAsia" w:ascii="仿宋_GB2312" w:hAnsi="仿宋_GB2312" w:eastAsia="仿宋_GB2312" w:cs="仿宋_GB2312"/>
          <w:color w:val="000000" w:themeColor="text1"/>
          <w:sz w:val="32"/>
          <w:szCs w:val="32"/>
          <w14:textFill>
            <w14:solidFill>
              <w14:schemeClr w14:val="tx1"/>
            </w14:solidFill>
          </w14:textFill>
        </w:rPr>
      </w:pPr>
    </w:p>
    <w:p>
      <w:pPr>
        <w:spacing w:line="360" w:lineRule="auto"/>
        <w:ind w:firstLine="540"/>
        <w:rPr>
          <w:rFonts w:hint="eastAsia" w:ascii="仿宋_GB2312" w:hAnsi="仿宋_GB2312" w:eastAsia="仿宋_GB2312" w:cs="仿宋_GB2312"/>
          <w:color w:val="000000" w:themeColor="text1"/>
          <w:sz w:val="32"/>
          <w:szCs w:val="32"/>
          <w14:textFill>
            <w14:solidFill>
              <w14:schemeClr w14:val="tx1"/>
            </w14:solidFill>
          </w14:textFill>
        </w:rPr>
      </w:pPr>
    </w:p>
    <w:p>
      <w:pPr>
        <w:spacing w:line="360" w:lineRule="auto"/>
        <w:ind w:firstLine="540"/>
        <w:rPr>
          <w:rFonts w:hint="eastAsia" w:ascii="仿宋_GB2312" w:hAnsi="仿宋_GB2312" w:eastAsia="仿宋_GB2312" w:cs="仿宋_GB2312"/>
          <w:color w:val="000000" w:themeColor="text1"/>
          <w:sz w:val="32"/>
          <w:szCs w:val="32"/>
          <w14:textFill>
            <w14:solidFill>
              <w14:schemeClr w14:val="tx1"/>
            </w14:solidFill>
          </w14:textFill>
        </w:rPr>
      </w:pPr>
    </w:p>
    <w:p>
      <w:pPr>
        <w:spacing w:line="360" w:lineRule="auto"/>
        <w:ind w:firstLine="540"/>
        <w:rPr>
          <w:rFonts w:hint="eastAsia" w:ascii="仿宋_GB2312" w:hAnsi="仿宋_GB2312" w:eastAsia="仿宋_GB2312" w:cs="仿宋_GB2312"/>
          <w:color w:val="000000" w:themeColor="text1"/>
          <w:sz w:val="32"/>
          <w:szCs w:val="32"/>
          <w14:textFill>
            <w14:solidFill>
              <w14:schemeClr w14:val="tx1"/>
            </w14:solidFill>
          </w14:textFill>
        </w:rPr>
      </w:pPr>
    </w:p>
    <w:p>
      <w:pPr>
        <w:spacing w:line="360" w:lineRule="auto"/>
        <w:rPr>
          <w:rFonts w:hint="eastAsia" w:ascii="仿宋_GB2312" w:hAnsi="仿宋_GB2312" w:eastAsia="仿宋_GB2312" w:cs="仿宋_GB2312"/>
          <w:b/>
          <w:bCs/>
          <w:color w:val="000000" w:themeColor="text1"/>
          <w:sz w:val="32"/>
          <w:szCs w:val="32"/>
          <w:lang w:eastAsia="zh-CN"/>
          <w14:textFill>
            <w14:solidFill>
              <w14:schemeClr w14:val="tx1"/>
            </w14:solidFill>
          </w14:textFill>
        </w:rPr>
      </w:pPr>
      <w:r>
        <w:rPr>
          <w:rFonts w:hint="eastAsia" w:ascii="仿宋_GB2312" w:hAnsi="仿宋_GB2312" w:eastAsia="仿宋_GB2312" w:cs="仿宋_GB2312"/>
          <w:b/>
          <w:bCs/>
          <w:color w:val="000000" w:themeColor="text1"/>
          <w:sz w:val="32"/>
          <w:szCs w:val="32"/>
          <w:lang w:eastAsia="zh-CN"/>
          <w14:textFill>
            <w14:solidFill>
              <w14:schemeClr w14:val="tx1"/>
            </w14:solidFill>
          </w14:textFill>
        </w:rPr>
        <w:t>附测试题</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一、单项选择题</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1、SAP营养支持的目标不正确的是（    ）</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A、增加胰液分泌，防止坏死和炎症的继续发展</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B、纠正SAP所致的营养物异常代谢</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C、在不进食的条件下，提高合理的营养底物，尽可能将机体组织的分解代谢降低到合理水平，预防和减轻营养不良</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D、通过特殊营养物的支持，尤其EN，降低炎症反应，增强肠粘膜屏障的功能，预防肠源性感染和MODS。</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2、医源性饥饿综合症的临床表现不包括（    ）</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A、肠蠕动减慢</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B、肠粘膜细胞减少、黏膜萎缩、绒毛变短、</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C、蛋白质和DNA合成减少</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D、肠蠕动增加</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3、肠内营养液分次输注时，相邻2次输注时间的间隔宜为（    ） </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A、0.5-1.0h    B、1.0-2.0h   C、2.0-3.0h   D、3.0-4.0h    </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4、十二指肠与空肠分界的解剖标志是   （    ）           </w:t>
      </w:r>
    </w:p>
    <w:p>
      <w:pPr>
        <w:spacing w:line="360" w:lineRule="auto"/>
        <w:ind w:left="630" w:leftChars="3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A．</w:t>
      </w:r>
      <w:r>
        <w:rPr>
          <w:rFonts w:hint="eastAsia" w:ascii="仿宋_GB2312" w:hAnsi="仿宋_GB2312" w:eastAsia="仿宋_GB2312" w:cs="仿宋_GB2312"/>
          <w:color w:val="000000" w:themeColor="text1"/>
          <w:sz w:val="32"/>
          <w:szCs w:val="32"/>
          <w14:textFill>
            <w14:solidFill>
              <w14:schemeClr w14:val="tx1"/>
            </w14:solidFill>
          </w14:textFill>
        </w:rPr>
        <w:tab/>
      </w:r>
      <w:r>
        <w:rPr>
          <w:rFonts w:hint="eastAsia" w:ascii="仿宋_GB2312" w:hAnsi="仿宋_GB2312" w:eastAsia="仿宋_GB2312" w:cs="仿宋_GB2312"/>
          <w:color w:val="000000" w:themeColor="text1"/>
          <w:sz w:val="32"/>
          <w:szCs w:val="32"/>
          <w14:textFill>
            <w14:solidFill>
              <w14:schemeClr w14:val="tx1"/>
            </w14:solidFill>
          </w14:textFill>
        </w:rPr>
        <w:t>胃膈韧带    B.胃肝韧带   C.胃脾韧带   D.胃结肠韧带   E.</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屈氏韧带</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5、正常成人每日分泌的胰液量约为         （    ）         </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A．300ml            B．400ml       C．600ml</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D．1000ml   </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6、肠内营养最常见并发症是（     ）</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A、恶心、B、呕吐、C、腹泻、D、腹胀E、吸入性肺炎</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7、关于预防肠内营养时喂养管阻塞的措施不妥的是（    ）</w:t>
      </w:r>
    </w:p>
    <w:p>
      <w:pPr>
        <w:spacing w:line="360" w:lineRule="auto"/>
        <w:ind w:firstLine="560" w:firstLineChars="2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A、营养液需快速输注，以免粘附于管壁</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B、输注前后用30ml温开水或生理盐水冲洗喂养管</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C、营养液过于黏稠时可根据情况适当稀释或用输液泵动力输注</w:t>
      </w:r>
    </w:p>
    <w:p>
      <w:pPr>
        <w:spacing w:line="360" w:lineRule="auto"/>
        <w:ind w:left="420" w:leftChars="200" w:firstLine="280" w:firstLineChars="100"/>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D、若需经喂养管过于黏稠时可根据情况 E 特殊用药前后应冲洗喂养管</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8、全肠外营养支持病人不可能发生的代谢性并发症有(   )</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A．低血糖   B．高血糖  C．导管败血症   D．肝功能损害   E．高渗性非酮症昏迷</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9、鼻肠管堵塞的处理措施描述不正确的是（    ）</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A、为避免堵塞，每次滴注结束后，用温开水30～50mL温开水冲洗导管</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B、片剂药物鼻饲时一定要研碎并注意药物的配伍禁忌</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C、对于含有糖衣的药片如耐信等，可遵嘱给予口服。</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D、一旦发现鼻肠管堵塞，采用加压冲洗导管的方法来解决。</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E、较严重时可使用少量5%碳酸氢钠低压冲洗和负压抽吸交替来解决。</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10、以下关于肠内营养的说法不正确的是（   ）</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A、SAP患者应避免营养液滴入胃和十二指肠内而加重病情。</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B、若鼻肠管堵塞，加压冲洗。</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C、严格掌握肠内营养的“三度”原则：即速度、浓度和温度，遵循循序渐进的原则。即由少到多，由稀到浓。</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D、有恶心呕吐症状的患者可通过采用合适的营养液、减慢滴速可有效预防恶心呕吐的发生。</w:t>
      </w:r>
    </w:p>
    <w:p>
      <w:pPr>
        <w:spacing w:line="360" w:lineRule="auto"/>
        <w:ind w:firstLine="539"/>
        <w:jc w:val="left"/>
        <w:rPr>
          <w:rFonts w:hint="eastAsia" w:ascii="仿宋_GB2312" w:hAnsi="仿宋_GB2312" w:eastAsia="仿宋_GB2312" w:cs="仿宋_GB2312"/>
          <w:color w:val="000000" w:themeColor="text1"/>
          <w:sz w:val="32"/>
          <w:szCs w:val="32"/>
          <w14:textFill>
            <w14:solidFill>
              <w14:schemeClr w14:val="tx1"/>
            </w14:solidFill>
          </w14:textFill>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F62"/>
    <w:rsid w:val="0004335C"/>
    <w:rsid w:val="00095925"/>
    <w:rsid w:val="00230434"/>
    <w:rsid w:val="003C6FA7"/>
    <w:rsid w:val="005D3B7D"/>
    <w:rsid w:val="00790F62"/>
    <w:rsid w:val="00AC72C7"/>
    <w:rsid w:val="00B53E7E"/>
    <w:rsid w:val="00BD168F"/>
    <w:rsid w:val="00CE19A8"/>
    <w:rsid w:val="00CF1EFF"/>
    <w:rsid w:val="00D677ED"/>
    <w:rsid w:val="00DC3183"/>
    <w:rsid w:val="00F03F47"/>
    <w:rsid w:val="00FD7FF1"/>
    <w:rsid w:val="00FE44C8"/>
    <w:rsid w:val="0B776D65"/>
    <w:rsid w:val="1660256B"/>
    <w:rsid w:val="6019703E"/>
    <w:rsid w:val="60D4530B"/>
    <w:rsid w:val="6A895115"/>
    <w:rsid w:val="7969095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737</Words>
  <Characters>4207</Characters>
  <Lines>35</Lines>
  <Paragraphs>9</Paragraphs>
  <ScaleCrop>false</ScaleCrop>
  <LinksUpToDate>false</LinksUpToDate>
  <CharactersWithSpaces>4935</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2021-03-27T08:53:00Z</dcterms:created>
  <dc:creator>xb21cn</dc:creator>
  <cp:lastModifiedBy>lenovo</cp:lastModifiedBy>
  <dcterms:modified xsi:type="dcterms:W3CDTF">2021-07-14T08:15:24Z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C06E19C3EF304754ABDB3FDEB7FF2E7E</vt:lpwstr>
  </property>
</Properties>
</file>